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FA4C0" w14:textId="77777777" w:rsidR="00E36B8E" w:rsidRDefault="00E36B8E" w:rsidP="00E36B8E">
      <w:pPr>
        <w:jc w:val="center"/>
        <w:rPr>
          <w:rFonts w:ascii="宋体" w:eastAsia="宋体" w:hAnsi="宋体"/>
          <w:color w:val="000000" w:themeColor="text1"/>
          <w:sz w:val="36"/>
          <w:szCs w:val="36"/>
        </w:rPr>
      </w:pPr>
      <w:r>
        <w:rPr>
          <w:rFonts w:ascii="宋体" w:eastAsia="宋体" w:hAnsi="宋体" w:hint="eastAsia"/>
          <w:color w:val="000000" w:themeColor="text1"/>
          <w:sz w:val="36"/>
          <w:szCs w:val="36"/>
        </w:rPr>
        <w:t>附件二：2019年待招标赛事名称及招标要求</w:t>
      </w:r>
    </w:p>
    <w:p w14:paraId="67A00B6D" w14:textId="77777777" w:rsidR="00E36B8E" w:rsidRDefault="00E36B8E" w:rsidP="00E36B8E">
      <w:pPr>
        <w:ind w:firstLineChars="200" w:firstLine="640"/>
        <w:rPr>
          <w:rFonts w:ascii="仿宋_GB2312" w:eastAsia="仿宋_GB2312" w:hAnsi="宋体"/>
          <w:color w:val="000000" w:themeColor="text1"/>
          <w:sz w:val="32"/>
          <w:szCs w:val="32"/>
        </w:rPr>
      </w:pPr>
    </w:p>
    <w:p w14:paraId="01E33EDA" w14:textId="77777777" w:rsidR="00E36B8E" w:rsidRDefault="00E36B8E" w:rsidP="00E36B8E">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待招标赛事为原有赛事协议到期及2019年新增的赛事，赛事类别分为职业赛事、业余赛事和青少年赛事。待招标各类赛事名称及具体招标要求如下：</w:t>
      </w:r>
    </w:p>
    <w:p w14:paraId="05EED40A" w14:textId="77777777" w:rsidR="00E36B8E" w:rsidRDefault="00E36B8E" w:rsidP="00E36B8E">
      <w:pPr>
        <w:pStyle w:val="a4"/>
        <w:numPr>
          <w:ilvl w:val="0"/>
          <w:numId w:val="1"/>
        </w:numPr>
        <w:ind w:firstLineChars="0"/>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待招标赛事</w:t>
      </w:r>
    </w:p>
    <w:p w14:paraId="364948DF" w14:textId="77777777" w:rsidR="00E36B8E" w:rsidRDefault="00E36B8E" w:rsidP="00E36B8E">
      <w:pPr>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职业赛事</w:t>
      </w:r>
    </w:p>
    <w:p w14:paraId="347D5730" w14:textId="77777777" w:rsidR="00E36B8E" w:rsidRDefault="00E36B8E" w:rsidP="002E227F">
      <w:pPr>
        <w:pStyle w:val="a4"/>
        <w:ind w:left="360" w:firstLineChars="0" w:firstLine="0"/>
        <w:rPr>
          <w:rFonts w:ascii="仿宋_GB2312" w:eastAsia="仿宋_GB2312" w:hAnsi="宋体"/>
          <w:b/>
          <w:color w:val="000000" w:themeColor="text1"/>
          <w:sz w:val="32"/>
          <w:szCs w:val="32"/>
        </w:rPr>
      </w:pPr>
      <w:r>
        <w:rPr>
          <w:rFonts w:ascii="仿宋_GB2312" w:eastAsia="仿宋_GB2312" w:hAnsi="宋体" w:hint="eastAsia"/>
          <w:color w:val="000000" w:themeColor="text1"/>
          <w:sz w:val="32"/>
          <w:szCs w:val="32"/>
        </w:rPr>
        <w:t>2019年LPGA比赛</w:t>
      </w:r>
    </w:p>
    <w:p w14:paraId="4786A23B" w14:textId="77777777" w:rsidR="00E36B8E" w:rsidRDefault="00E36B8E" w:rsidP="00E36B8E">
      <w:pPr>
        <w:pStyle w:val="a4"/>
        <w:ind w:left="360" w:firstLineChars="0" w:firstLine="0"/>
        <w:rPr>
          <w:rFonts w:ascii="仿宋_GB2312" w:eastAsia="仿宋_GB2312" w:hAnsi="宋体"/>
          <w:color w:val="000000" w:themeColor="text1"/>
          <w:sz w:val="32"/>
          <w:szCs w:val="32"/>
        </w:rPr>
      </w:pPr>
    </w:p>
    <w:p w14:paraId="130A8A74" w14:textId="77777777" w:rsidR="00E36B8E" w:rsidRDefault="00E36B8E" w:rsidP="00E36B8E">
      <w:pPr>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业余赛事</w:t>
      </w:r>
    </w:p>
    <w:p w14:paraId="166E2F87" w14:textId="77777777" w:rsidR="00E36B8E" w:rsidRDefault="00E36B8E" w:rsidP="00E36B8E">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根据《中国高尔夫球协会业余积分排名办法》（中高协字〔2018〕405号）和《中国高尔夫球协会赛事管理办法》（中高协字〔2018〕347号）中的有关内容，2019年中高协主办的业余排名赛事体系分为6级，其中前2级的排名赛事为职业赛事，后4级为业余赛事。待招标的主办业余赛事名称及对应级别如下：</w:t>
      </w:r>
    </w:p>
    <w:tbl>
      <w:tblPr>
        <w:tblW w:w="8900" w:type="dxa"/>
        <w:tblInd w:w="-286" w:type="dxa"/>
        <w:tblLook w:val="04A0" w:firstRow="1" w:lastRow="0" w:firstColumn="1" w:lastColumn="0" w:noHBand="0" w:noVBand="1"/>
      </w:tblPr>
      <w:tblGrid>
        <w:gridCol w:w="851"/>
        <w:gridCol w:w="3929"/>
        <w:gridCol w:w="4120"/>
      </w:tblGrid>
      <w:tr w:rsidR="00E36B8E" w14:paraId="3CCFEBCA" w14:textId="77777777" w:rsidTr="00E36B8E">
        <w:trPr>
          <w:trHeight w:val="638"/>
        </w:trPr>
        <w:tc>
          <w:tcPr>
            <w:tcW w:w="851" w:type="dxa"/>
            <w:tcBorders>
              <w:top w:val="single" w:sz="12" w:space="0" w:color="auto"/>
              <w:left w:val="nil"/>
              <w:bottom w:val="single" w:sz="12" w:space="0" w:color="auto"/>
              <w:right w:val="nil"/>
            </w:tcBorders>
            <w:vAlign w:val="center"/>
            <w:hideMark/>
          </w:tcPr>
          <w:p w14:paraId="1C22080A" w14:textId="77777777" w:rsidR="00E36B8E" w:rsidRDefault="00E36B8E">
            <w:pPr>
              <w:widowControl/>
              <w:jc w:val="center"/>
              <w:rPr>
                <w:rFonts w:ascii="宋体" w:eastAsia="宋体" w:hAnsi="宋体" w:cs="Calibri"/>
                <w:b/>
                <w:bCs/>
                <w:color w:val="000000" w:themeColor="text1"/>
                <w:kern w:val="0"/>
                <w:sz w:val="20"/>
                <w:szCs w:val="20"/>
              </w:rPr>
            </w:pPr>
            <w:r>
              <w:rPr>
                <w:rFonts w:ascii="宋体" w:eastAsia="宋体" w:hAnsi="宋体" w:cs="Calibri" w:hint="eastAsia"/>
                <w:b/>
                <w:bCs/>
                <w:color w:val="000000" w:themeColor="text1"/>
                <w:kern w:val="0"/>
                <w:sz w:val="20"/>
                <w:szCs w:val="20"/>
              </w:rPr>
              <w:t>级别</w:t>
            </w:r>
          </w:p>
        </w:tc>
        <w:tc>
          <w:tcPr>
            <w:tcW w:w="8049" w:type="dxa"/>
            <w:gridSpan w:val="2"/>
            <w:tcBorders>
              <w:top w:val="single" w:sz="12" w:space="0" w:color="auto"/>
              <w:left w:val="nil"/>
              <w:bottom w:val="single" w:sz="12" w:space="0" w:color="auto"/>
              <w:right w:val="nil"/>
            </w:tcBorders>
            <w:vAlign w:val="center"/>
            <w:hideMark/>
          </w:tcPr>
          <w:p w14:paraId="609B31BC" w14:textId="77777777" w:rsidR="00E36B8E" w:rsidRDefault="00E36B8E">
            <w:pPr>
              <w:widowControl/>
              <w:jc w:val="center"/>
              <w:rPr>
                <w:rFonts w:ascii="宋体" w:eastAsia="宋体" w:hAnsi="宋体" w:cs="Calibri"/>
                <w:b/>
                <w:bCs/>
                <w:color w:val="000000" w:themeColor="text1"/>
                <w:kern w:val="0"/>
                <w:sz w:val="28"/>
                <w:szCs w:val="28"/>
              </w:rPr>
            </w:pPr>
            <w:r>
              <w:rPr>
                <w:rFonts w:ascii="宋体" w:eastAsia="宋体" w:hAnsi="宋体" w:cs="Calibri" w:hint="eastAsia"/>
                <w:b/>
                <w:bCs/>
                <w:color w:val="000000" w:themeColor="text1"/>
                <w:kern w:val="0"/>
                <w:sz w:val="28"/>
                <w:szCs w:val="28"/>
              </w:rPr>
              <w:t>2018中高协主办业余赛招标赛事名称</w:t>
            </w:r>
          </w:p>
        </w:tc>
      </w:tr>
      <w:tr w:rsidR="00E36B8E" w14:paraId="26878BC0" w14:textId="77777777" w:rsidTr="00E36B8E">
        <w:trPr>
          <w:trHeight w:val="638"/>
        </w:trPr>
        <w:tc>
          <w:tcPr>
            <w:tcW w:w="851" w:type="dxa"/>
            <w:vAlign w:val="center"/>
            <w:hideMark/>
          </w:tcPr>
          <w:p w14:paraId="0F956CD7"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3</w:t>
            </w:r>
          </w:p>
        </w:tc>
        <w:tc>
          <w:tcPr>
            <w:tcW w:w="3929" w:type="dxa"/>
            <w:tcBorders>
              <w:top w:val="single" w:sz="12" w:space="0" w:color="auto"/>
              <w:left w:val="nil"/>
              <w:bottom w:val="nil"/>
              <w:right w:val="nil"/>
            </w:tcBorders>
            <w:shd w:val="clear" w:color="auto" w:fill="FFFFFF"/>
            <w:vAlign w:val="center"/>
            <w:hideMark/>
          </w:tcPr>
          <w:p w14:paraId="727D4061"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中国业余冠军赛</w:t>
            </w:r>
          </w:p>
        </w:tc>
        <w:tc>
          <w:tcPr>
            <w:tcW w:w="4120" w:type="dxa"/>
            <w:tcBorders>
              <w:top w:val="single" w:sz="12" w:space="0" w:color="auto"/>
              <w:left w:val="nil"/>
              <w:bottom w:val="nil"/>
              <w:right w:val="nil"/>
            </w:tcBorders>
            <w:shd w:val="clear" w:color="auto" w:fill="FFFFFF"/>
            <w:vAlign w:val="center"/>
            <w:hideMark/>
          </w:tcPr>
          <w:p w14:paraId="4A1BC5FE"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 xml:space="preserve">　</w:t>
            </w:r>
          </w:p>
        </w:tc>
      </w:tr>
      <w:tr w:rsidR="00E36B8E" w14:paraId="0113404B" w14:textId="77777777" w:rsidTr="00E36B8E">
        <w:trPr>
          <w:trHeight w:val="638"/>
        </w:trPr>
        <w:tc>
          <w:tcPr>
            <w:tcW w:w="851" w:type="dxa"/>
            <w:vAlign w:val="center"/>
            <w:hideMark/>
          </w:tcPr>
          <w:p w14:paraId="3908FC7F"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4</w:t>
            </w:r>
          </w:p>
        </w:tc>
        <w:tc>
          <w:tcPr>
            <w:tcW w:w="3929" w:type="dxa"/>
            <w:shd w:val="clear" w:color="auto" w:fill="FFFFFF"/>
            <w:vAlign w:val="center"/>
            <w:hideMark/>
          </w:tcPr>
          <w:p w14:paraId="28CB735F"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 xml:space="preserve">（暂无待招标赛事）　</w:t>
            </w:r>
          </w:p>
        </w:tc>
        <w:tc>
          <w:tcPr>
            <w:tcW w:w="4120" w:type="dxa"/>
            <w:shd w:val="clear" w:color="auto" w:fill="FFFFFF"/>
            <w:vAlign w:val="center"/>
            <w:hideMark/>
          </w:tcPr>
          <w:p w14:paraId="2015D82F"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 xml:space="preserve">　</w:t>
            </w:r>
          </w:p>
        </w:tc>
      </w:tr>
      <w:tr w:rsidR="00E36B8E" w14:paraId="6B7BBCFE" w14:textId="77777777" w:rsidTr="00E36B8E">
        <w:trPr>
          <w:trHeight w:val="638"/>
        </w:trPr>
        <w:tc>
          <w:tcPr>
            <w:tcW w:w="851" w:type="dxa"/>
            <w:vAlign w:val="center"/>
            <w:hideMark/>
          </w:tcPr>
          <w:p w14:paraId="5A964015"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5</w:t>
            </w:r>
          </w:p>
        </w:tc>
        <w:tc>
          <w:tcPr>
            <w:tcW w:w="3929" w:type="dxa"/>
            <w:shd w:val="clear" w:color="auto" w:fill="FFFFFF"/>
            <w:vAlign w:val="center"/>
            <w:hideMark/>
          </w:tcPr>
          <w:p w14:paraId="5125405E"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全国业余希望赛（不少于4站）</w:t>
            </w:r>
          </w:p>
        </w:tc>
        <w:tc>
          <w:tcPr>
            <w:tcW w:w="4120" w:type="dxa"/>
            <w:shd w:val="clear" w:color="auto" w:fill="FFFFFF"/>
            <w:vAlign w:val="center"/>
            <w:hideMark/>
          </w:tcPr>
          <w:p w14:paraId="1D233A2E"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 xml:space="preserve">　</w:t>
            </w:r>
          </w:p>
        </w:tc>
      </w:tr>
      <w:tr w:rsidR="00E36B8E" w14:paraId="6DBD2364" w14:textId="77777777" w:rsidTr="00E36B8E">
        <w:trPr>
          <w:trHeight w:val="638"/>
        </w:trPr>
        <w:tc>
          <w:tcPr>
            <w:tcW w:w="851" w:type="dxa"/>
            <w:tcBorders>
              <w:top w:val="nil"/>
              <w:left w:val="nil"/>
              <w:bottom w:val="single" w:sz="12" w:space="0" w:color="auto"/>
              <w:right w:val="nil"/>
            </w:tcBorders>
            <w:vAlign w:val="center"/>
            <w:hideMark/>
          </w:tcPr>
          <w:p w14:paraId="050E44A7"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6</w:t>
            </w:r>
          </w:p>
        </w:tc>
        <w:tc>
          <w:tcPr>
            <w:tcW w:w="3929" w:type="dxa"/>
            <w:tcBorders>
              <w:top w:val="nil"/>
              <w:left w:val="nil"/>
              <w:bottom w:val="single" w:sz="12" w:space="0" w:color="auto"/>
              <w:right w:val="nil"/>
            </w:tcBorders>
            <w:shd w:val="clear" w:color="auto" w:fill="FFFFFF"/>
            <w:vAlign w:val="center"/>
            <w:hideMark/>
          </w:tcPr>
          <w:p w14:paraId="0F6C6F32" w14:textId="77777777" w:rsidR="00E36B8E" w:rsidRDefault="00E36B8E">
            <w:pPr>
              <w:widowControl/>
              <w:jc w:val="center"/>
              <w:rPr>
                <w:rFonts w:ascii="仿宋_GB2312" w:eastAsia="仿宋_GB2312" w:hAnsi="宋体" w:cs="Calibri"/>
                <w:color w:val="000000" w:themeColor="text1"/>
                <w:kern w:val="0"/>
                <w:sz w:val="24"/>
                <w:szCs w:val="28"/>
              </w:rPr>
            </w:pPr>
            <w:r>
              <w:rPr>
                <w:rFonts w:ascii="仿宋_GB2312" w:eastAsia="仿宋_GB2312" w:hAnsi="宋体" w:cs="Calibri" w:hint="eastAsia"/>
                <w:color w:val="000000" w:themeColor="text1"/>
                <w:kern w:val="0"/>
                <w:sz w:val="24"/>
                <w:szCs w:val="28"/>
              </w:rPr>
              <w:t>全国业余挑战赛（不少于4站）</w:t>
            </w:r>
          </w:p>
        </w:tc>
        <w:tc>
          <w:tcPr>
            <w:tcW w:w="4120" w:type="dxa"/>
            <w:tcBorders>
              <w:top w:val="nil"/>
              <w:left w:val="nil"/>
              <w:bottom w:val="single" w:sz="12" w:space="0" w:color="auto"/>
              <w:right w:val="nil"/>
            </w:tcBorders>
            <w:shd w:val="clear" w:color="auto" w:fill="FFFFFF"/>
            <w:vAlign w:val="center"/>
            <w:hideMark/>
          </w:tcPr>
          <w:p w14:paraId="4DF2914D" w14:textId="77777777" w:rsidR="00E36B8E" w:rsidRDefault="00E36B8E">
            <w:pPr>
              <w:rPr>
                <w:rFonts w:ascii="仿宋_GB2312" w:eastAsia="仿宋_GB2312" w:hAnsi="宋体" w:cs="Calibri"/>
                <w:color w:val="000000" w:themeColor="text1"/>
                <w:kern w:val="0"/>
                <w:sz w:val="24"/>
                <w:szCs w:val="28"/>
              </w:rPr>
            </w:pPr>
          </w:p>
        </w:tc>
      </w:tr>
    </w:tbl>
    <w:p w14:paraId="0C03AD2A" w14:textId="77777777" w:rsidR="00E36B8E" w:rsidRDefault="00E36B8E" w:rsidP="00E36B8E">
      <w:pPr>
        <w:rPr>
          <w:rFonts w:ascii="仿宋_GB2312" w:eastAsia="仿宋_GB2312" w:hAnsi="宋体"/>
          <w:color w:val="000000" w:themeColor="text1"/>
          <w:sz w:val="32"/>
          <w:szCs w:val="32"/>
        </w:rPr>
      </w:pPr>
    </w:p>
    <w:p w14:paraId="0416E53A" w14:textId="77777777" w:rsidR="00E36B8E" w:rsidRDefault="00E36B8E" w:rsidP="00E36B8E">
      <w:pPr>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lastRenderedPageBreak/>
        <w:t>青少年赛事</w:t>
      </w:r>
    </w:p>
    <w:p w14:paraId="7D6481B0" w14:textId="77777777" w:rsidR="00E36B8E" w:rsidRDefault="00E36B8E" w:rsidP="00E36B8E">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根据《中国高尔夫球协会青少年积分排名办法（2019年版）》（中高协字〔2018〕346号）和《中高协赛事管理办法》（中高协字〔2018〕347号），2019年中高协青少年赛事体系分为8级，其中前4级赛事为主办赛事，后4级为认证赛事。待招标的主办青少年赛事名称及对应级别如下：</w:t>
      </w:r>
    </w:p>
    <w:p w14:paraId="13D02FCE" w14:textId="77777777" w:rsidR="00E36B8E" w:rsidRDefault="00E36B8E" w:rsidP="00E36B8E">
      <w:pPr>
        <w:rPr>
          <w:rFonts w:ascii="仿宋_GB2312" w:eastAsia="仿宋_GB2312" w:hAnsi="宋体"/>
          <w:color w:val="000000" w:themeColor="text1"/>
          <w:sz w:val="32"/>
          <w:szCs w:val="32"/>
        </w:rPr>
      </w:pPr>
    </w:p>
    <w:tbl>
      <w:tblPr>
        <w:tblW w:w="9850" w:type="dxa"/>
        <w:tblInd w:w="-851" w:type="dxa"/>
        <w:tblLook w:val="04A0" w:firstRow="1" w:lastRow="0" w:firstColumn="1" w:lastColumn="0" w:noHBand="0" w:noVBand="1"/>
      </w:tblPr>
      <w:tblGrid>
        <w:gridCol w:w="567"/>
        <w:gridCol w:w="2694"/>
        <w:gridCol w:w="2229"/>
        <w:gridCol w:w="2180"/>
        <w:gridCol w:w="2180"/>
      </w:tblGrid>
      <w:tr w:rsidR="00E36B8E" w14:paraId="20E5331B" w14:textId="77777777" w:rsidTr="00120282">
        <w:trPr>
          <w:trHeight w:val="638"/>
        </w:trPr>
        <w:tc>
          <w:tcPr>
            <w:tcW w:w="567" w:type="dxa"/>
            <w:tcBorders>
              <w:top w:val="single" w:sz="4" w:space="0" w:color="auto"/>
              <w:left w:val="nil"/>
              <w:bottom w:val="single" w:sz="8" w:space="0" w:color="auto"/>
              <w:right w:val="nil"/>
            </w:tcBorders>
            <w:vAlign w:val="center"/>
            <w:hideMark/>
          </w:tcPr>
          <w:p w14:paraId="34C6B6D9" w14:textId="77777777" w:rsidR="00E36B8E" w:rsidRDefault="00E36B8E">
            <w:pPr>
              <w:widowControl/>
              <w:jc w:val="center"/>
              <w:rPr>
                <w:rFonts w:ascii="宋体" w:eastAsia="宋体" w:hAnsi="宋体" w:cs="Calibri"/>
                <w:b/>
                <w:bCs/>
                <w:color w:val="000000" w:themeColor="text1"/>
                <w:kern w:val="0"/>
                <w:sz w:val="20"/>
                <w:szCs w:val="20"/>
              </w:rPr>
            </w:pPr>
            <w:r>
              <w:rPr>
                <w:rFonts w:ascii="宋体" w:eastAsia="宋体" w:hAnsi="宋体" w:cs="Calibri" w:hint="eastAsia"/>
                <w:b/>
                <w:bCs/>
                <w:color w:val="000000" w:themeColor="text1"/>
                <w:kern w:val="0"/>
                <w:sz w:val="20"/>
                <w:szCs w:val="20"/>
              </w:rPr>
              <w:t>级别</w:t>
            </w:r>
          </w:p>
        </w:tc>
        <w:tc>
          <w:tcPr>
            <w:tcW w:w="9283" w:type="dxa"/>
            <w:gridSpan w:val="4"/>
            <w:tcBorders>
              <w:top w:val="single" w:sz="8" w:space="0" w:color="auto"/>
              <w:left w:val="nil"/>
              <w:bottom w:val="single" w:sz="8" w:space="0" w:color="auto"/>
              <w:right w:val="nil"/>
            </w:tcBorders>
            <w:vAlign w:val="center"/>
            <w:hideMark/>
          </w:tcPr>
          <w:p w14:paraId="46616179" w14:textId="77777777" w:rsidR="00E36B8E" w:rsidRDefault="00E36B8E">
            <w:pPr>
              <w:widowControl/>
              <w:jc w:val="center"/>
              <w:rPr>
                <w:rFonts w:ascii="宋体" w:eastAsia="宋体" w:hAnsi="宋体" w:cs="Calibri"/>
                <w:b/>
                <w:bCs/>
                <w:color w:val="000000" w:themeColor="text1"/>
                <w:kern w:val="0"/>
                <w:sz w:val="28"/>
                <w:szCs w:val="28"/>
              </w:rPr>
            </w:pPr>
            <w:r>
              <w:rPr>
                <w:rFonts w:ascii="宋体" w:eastAsia="宋体" w:hAnsi="宋体" w:cs="Calibri" w:hint="eastAsia"/>
                <w:b/>
                <w:bCs/>
                <w:color w:val="000000" w:themeColor="text1"/>
                <w:kern w:val="0"/>
                <w:sz w:val="28"/>
                <w:szCs w:val="28"/>
              </w:rPr>
              <w:t>招标赛事名称</w:t>
            </w:r>
          </w:p>
        </w:tc>
      </w:tr>
      <w:tr w:rsidR="00E36B8E" w14:paraId="2831284D" w14:textId="77777777" w:rsidTr="00120282">
        <w:trPr>
          <w:trHeight w:val="638"/>
        </w:trPr>
        <w:tc>
          <w:tcPr>
            <w:tcW w:w="567" w:type="dxa"/>
            <w:vAlign w:val="center"/>
            <w:hideMark/>
          </w:tcPr>
          <w:p w14:paraId="13E6459D" w14:textId="77777777" w:rsidR="00E36B8E" w:rsidRDefault="00E36B8E">
            <w:pPr>
              <w:widowControl/>
              <w:jc w:val="center"/>
              <w:rPr>
                <w:rFonts w:ascii="宋体" w:eastAsia="宋体" w:hAnsi="宋体" w:cs="Calibri"/>
                <w:color w:val="000000" w:themeColor="text1"/>
                <w:kern w:val="0"/>
                <w:sz w:val="24"/>
                <w:szCs w:val="28"/>
              </w:rPr>
            </w:pPr>
            <w:r>
              <w:rPr>
                <w:rFonts w:ascii="宋体" w:eastAsia="宋体" w:hAnsi="宋体" w:cs="Calibri" w:hint="eastAsia"/>
                <w:color w:val="000000" w:themeColor="text1"/>
                <w:kern w:val="0"/>
                <w:sz w:val="24"/>
                <w:szCs w:val="28"/>
              </w:rPr>
              <w:t>1</w:t>
            </w:r>
          </w:p>
        </w:tc>
        <w:tc>
          <w:tcPr>
            <w:tcW w:w="2694" w:type="dxa"/>
            <w:shd w:val="clear" w:color="auto" w:fill="FFFFFF"/>
            <w:vAlign w:val="center"/>
            <w:hideMark/>
          </w:tcPr>
          <w:p w14:paraId="0409515C"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中国青少年大师赛</w:t>
            </w:r>
          </w:p>
        </w:tc>
        <w:tc>
          <w:tcPr>
            <w:tcW w:w="2229" w:type="dxa"/>
            <w:shd w:val="clear" w:color="auto" w:fill="FFFFFF"/>
            <w:vAlign w:val="center"/>
            <w:hideMark/>
          </w:tcPr>
          <w:p w14:paraId="7482E82C"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中国青少年锦标赛</w:t>
            </w:r>
          </w:p>
        </w:tc>
        <w:tc>
          <w:tcPr>
            <w:tcW w:w="2180" w:type="dxa"/>
            <w:shd w:val="clear" w:color="auto" w:fill="FFFFFF"/>
            <w:vAlign w:val="center"/>
            <w:hideMark/>
          </w:tcPr>
          <w:p w14:paraId="5D11D133"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中国青少年冠军赛</w:t>
            </w:r>
          </w:p>
        </w:tc>
        <w:tc>
          <w:tcPr>
            <w:tcW w:w="2180" w:type="dxa"/>
            <w:shd w:val="clear" w:color="auto" w:fill="FFFFFF"/>
            <w:noWrap/>
            <w:hideMark/>
          </w:tcPr>
          <w:p w14:paraId="0F937D0D" w14:textId="77777777" w:rsidR="00E36B8E" w:rsidRDefault="00E36B8E">
            <w:pPr>
              <w:widowControl/>
              <w:jc w:val="left"/>
              <w:rPr>
                <w:rFonts w:ascii="Calibri" w:eastAsia="宋体" w:hAnsi="Calibri" w:cs="Calibri"/>
                <w:color w:val="000000" w:themeColor="text1"/>
                <w:kern w:val="0"/>
                <w:sz w:val="24"/>
                <w:szCs w:val="20"/>
              </w:rPr>
            </w:pPr>
            <w:r>
              <w:rPr>
                <w:rFonts w:ascii="Calibri" w:eastAsia="宋体" w:hAnsi="Calibri" w:cs="Calibri" w:hint="eastAsia"/>
                <w:color w:val="000000" w:themeColor="text1"/>
                <w:kern w:val="0"/>
                <w:sz w:val="24"/>
                <w:szCs w:val="20"/>
              </w:rPr>
              <w:t xml:space="preserve">　</w:t>
            </w:r>
          </w:p>
        </w:tc>
      </w:tr>
      <w:tr w:rsidR="00E36B8E" w14:paraId="76B2B13D" w14:textId="77777777" w:rsidTr="00120282">
        <w:trPr>
          <w:trHeight w:val="638"/>
        </w:trPr>
        <w:tc>
          <w:tcPr>
            <w:tcW w:w="567" w:type="dxa"/>
            <w:vAlign w:val="center"/>
            <w:hideMark/>
          </w:tcPr>
          <w:p w14:paraId="00E3DDE1" w14:textId="77777777" w:rsidR="00E36B8E" w:rsidRDefault="00E36B8E">
            <w:pPr>
              <w:widowControl/>
              <w:jc w:val="center"/>
              <w:rPr>
                <w:rFonts w:ascii="宋体" w:eastAsia="宋体" w:hAnsi="宋体" w:cs="Calibri"/>
                <w:color w:val="000000" w:themeColor="text1"/>
                <w:kern w:val="0"/>
                <w:sz w:val="24"/>
                <w:szCs w:val="28"/>
              </w:rPr>
            </w:pPr>
            <w:r>
              <w:rPr>
                <w:rFonts w:ascii="宋体" w:eastAsia="宋体" w:hAnsi="宋体" w:cs="Calibri" w:hint="eastAsia"/>
                <w:color w:val="000000" w:themeColor="text1"/>
                <w:kern w:val="0"/>
                <w:sz w:val="24"/>
                <w:szCs w:val="28"/>
              </w:rPr>
              <w:t>2</w:t>
            </w:r>
          </w:p>
        </w:tc>
        <w:tc>
          <w:tcPr>
            <w:tcW w:w="2694" w:type="dxa"/>
            <w:shd w:val="clear" w:color="auto" w:fill="FFFFFF"/>
            <w:vAlign w:val="center"/>
            <w:hideMark/>
          </w:tcPr>
          <w:p w14:paraId="40C3B44A"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全国青少年比洞锦标赛</w:t>
            </w:r>
          </w:p>
        </w:tc>
        <w:tc>
          <w:tcPr>
            <w:tcW w:w="2229" w:type="dxa"/>
            <w:shd w:val="clear" w:color="auto" w:fill="FFFFFF"/>
            <w:vAlign w:val="center"/>
            <w:hideMark/>
          </w:tcPr>
          <w:p w14:paraId="2EE85387"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全国青少年锦标赛</w:t>
            </w:r>
          </w:p>
        </w:tc>
        <w:tc>
          <w:tcPr>
            <w:tcW w:w="2180" w:type="dxa"/>
            <w:shd w:val="clear" w:color="auto" w:fill="FFFFFF"/>
            <w:vAlign w:val="center"/>
            <w:hideMark/>
          </w:tcPr>
          <w:p w14:paraId="21D91C6A"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全国青少年精英赛</w:t>
            </w:r>
          </w:p>
        </w:tc>
        <w:tc>
          <w:tcPr>
            <w:tcW w:w="2180" w:type="dxa"/>
            <w:shd w:val="clear" w:color="auto" w:fill="FFFFFF"/>
            <w:vAlign w:val="center"/>
            <w:hideMark/>
          </w:tcPr>
          <w:p w14:paraId="2123D518"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全国青少年公开赛</w:t>
            </w:r>
          </w:p>
        </w:tc>
      </w:tr>
      <w:tr w:rsidR="00E36B8E" w14:paraId="39591A78" w14:textId="77777777" w:rsidTr="00120282">
        <w:trPr>
          <w:trHeight w:val="638"/>
        </w:trPr>
        <w:tc>
          <w:tcPr>
            <w:tcW w:w="567" w:type="dxa"/>
            <w:vAlign w:val="center"/>
            <w:hideMark/>
          </w:tcPr>
          <w:p w14:paraId="404661DA" w14:textId="77777777" w:rsidR="00E36B8E" w:rsidRDefault="00E36B8E">
            <w:pPr>
              <w:widowControl/>
              <w:jc w:val="center"/>
              <w:rPr>
                <w:rFonts w:ascii="宋体" w:eastAsia="宋体" w:hAnsi="宋体" w:cs="Calibri"/>
                <w:color w:val="000000" w:themeColor="text1"/>
                <w:kern w:val="0"/>
                <w:sz w:val="24"/>
                <w:szCs w:val="28"/>
              </w:rPr>
            </w:pPr>
            <w:r>
              <w:rPr>
                <w:rFonts w:ascii="宋体" w:eastAsia="宋体" w:hAnsi="宋体" w:cs="Calibri" w:hint="eastAsia"/>
                <w:color w:val="000000" w:themeColor="text1"/>
                <w:kern w:val="0"/>
                <w:sz w:val="24"/>
                <w:szCs w:val="28"/>
              </w:rPr>
              <w:t>3</w:t>
            </w:r>
          </w:p>
        </w:tc>
        <w:tc>
          <w:tcPr>
            <w:tcW w:w="2694" w:type="dxa"/>
            <w:shd w:val="clear" w:color="auto" w:fill="FFFFFF"/>
            <w:vAlign w:val="center"/>
            <w:hideMark/>
          </w:tcPr>
          <w:p w14:paraId="6724C93A"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 xml:space="preserve">　（暂无待招标赛事）</w:t>
            </w:r>
          </w:p>
        </w:tc>
        <w:tc>
          <w:tcPr>
            <w:tcW w:w="2229" w:type="dxa"/>
            <w:shd w:val="clear" w:color="auto" w:fill="FFFFFF"/>
            <w:vAlign w:val="center"/>
            <w:hideMark/>
          </w:tcPr>
          <w:p w14:paraId="09489888"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 xml:space="preserve">　</w:t>
            </w:r>
          </w:p>
        </w:tc>
        <w:tc>
          <w:tcPr>
            <w:tcW w:w="2180" w:type="dxa"/>
            <w:shd w:val="clear" w:color="auto" w:fill="FFFFFF"/>
            <w:vAlign w:val="center"/>
            <w:hideMark/>
          </w:tcPr>
          <w:p w14:paraId="41104072"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 xml:space="preserve">　</w:t>
            </w:r>
          </w:p>
        </w:tc>
        <w:tc>
          <w:tcPr>
            <w:tcW w:w="2180" w:type="dxa"/>
            <w:shd w:val="clear" w:color="auto" w:fill="FFFFFF"/>
            <w:vAlign w:val="center"/>
            <w:hideMark/>
          </w:tcPr>
          <w:p w14:paraId="2785213E"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 xml:space="preserve">　</w:t>
            </w:r>
          </w:p>
        </w:tc>
      </w:tr>
      <w:tr w:rsidR="00E36B8E" w14:paraId="667ECC44" w14:textId="77777777" w:rsidTr="00120282">
        <w:trPr>
          <w:trHeight w:val="638"/>
        </w:trPr>
        <w:tc>
          <w:tcPr>
            <w:tcW w:w="567" w:type="dxa"/>
            <w:tcBorders>
              <w:top w:val="nil"/>
              <w:left w:val="nil"/>
              <w:bottom w:val="single" w:sz="8" w:space="0" w:color="auto"/>
              <w:right w:val="nil"/>
            </w:tcBorders>
            <w:vAlign w:val="center"/>
            <w:hideMark/>
          </w:tcPr>
          <w:p w14:paraId="2A594A5B" w14:textId="77777777" w:rsidR="00E36B8E" w:rsidRDefault="00E36B8E">
            <w:pPr>
              <w:widowControl/>
              <w:jc w:val="center"/>
              <w:rPr>
                <w:rFonts w:ascii="宋体" w:eastAsia="宋体" w:hAnsi="宋体" w:cs="Calibri"/>
                <w:color w:val="000000" w:themeColor="text1"/>
                <w:kern w:val="0"/>
                <w:sz w:val="24"/>
                <w:szCs w:val="28"/>
              </w:rPr>
            </w:pPr>
            <w:r>
              <w:rPr>
                <w:rFonts w:ascii="宋体" w:eastAsia="宋体" w:hAnsi="宋体" w:cs="Calibri" w:hint="eastAsia"/>
                <w:color w:val="000000" w:themeColor="text1"/>
                <w:kern w:val="0"/>
                <w:sz w:val="24"/>
                <w:szCs w:val="28"/>
              </w:rPr>
              <w:t>4</w:t>
            </w:r>
          </w:p>
        </w:tc>
        <w:tc>
          <w:tcPr>
            <w:tcW w:w="2694" w:type="dxa"/>
            <w:tcBorders>
              <w:top w:val="nil"/>
              <w:left w:val="nil"/>
              <w:bottom w:val="single" w:sz="8" w:space="0" w:color="auto"/>
              <w:right w:val="nil"/>
            </w:tcBorders>
            <w:shd w:val="clear" w:color="auto" w:fill="FFFFFF"/>
            <w:vAlign w:val="center"/>
            <w:hideMark/>
          </w:tcPr>
          <w:p w14:paraId="3E8659F4"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全国青少年精英系列赛</w:t>
            </w:r>
          </w:p>
        </w:tc>
        <w:tc>
          <w:tcPr>
            <w:tcW w:w="2229" w:type="dxa"/>
            <w:tcBorders>
              <w:top w:val="nil"/>
              <w:left w:val="nil"/>
              <w:bottom w:val="single" w:sz="8" w:space="0" w:color="auto"/>
              <w:right w:val="nil"/>
            </w:tcBorders>
            <w:shd w:val="clear" w:color="auto" w:fill="FFFFFF"/>
            <w:vAlign w:val="center"/>
            <w:hideMark/>
          </w:tcPr>
          <w:p w14:paraId="4335B7C3"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全国青少年挑战赛</w:t>
            </w:r>
          </w:p>
        </w:tc>
        <w:tc>
          <w:tcPr>
            <w:tcW w:w="2180" w:type="dxa"/>
            <w:tcBorders>
              <w:top w:val="nil"/>
              <w:left w:val="nil"/>
              <w:bottom w:val="single" w:sz="8" w:space="0" w:color="auto"/>
              <w:right w:val="nil"/>
            </w:tcBorders>
            <w:shd w:val="clear" w:color="auto" w:fill="FFFFFF"/>
            <w:vAlign w:val="center"/>
            <w:hideMark/>
          </w:tcPr>
          <w:p w14:paraId="7ED790AC"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国际青少年邀请赛</w:t>
            </w:r>
          </w:p>
        </w:tc>
        <w:tc>
          <w:tcPr>
            <w:tcW w:w="2180" w:type="dxa"/>
            <w:tcBorders>
              <w:top w:val="nil"/>
              <w:left w:val="nil"/>
              <w:bottom w:val="single" w:sz="8" w:space="0" w:color="auto"/>
              <w:right w:val="nil"/>
            </w:tcBorders>
            <w:shd w:val="clear" w:color="auto" w:fill="FFFFFF"/>
            <w:vAlign w:val="center"/>
            <w:hideMark/>
          </w:tcPr>
          <w:p w14:paraId="2ED618B6" w14:textId="77777777" w:rsidR="00E36B8E" w:rsidRDefault="00E36B8E">
            <w:pPr>
              <w:widowControl/>
              <w:rPr>
                <w:rFonts w:ascii="仿宋_GB2312" w:eastAsia="仿宋_GB2312" w:hAnsi="Calibri" w:cs="Calibri"/>
                <w:color w:val="000000" w:themeColor="text1"/>
                <w:kern w:val="0"/>
                <w:sz w:val="24"/>
                <w:szCs w:val="20"/>
              </w:rPr>
            </w:pPr>
            <w:r>
              <w:rPr>
                <w:rFonts w:ascii="仿宋_GB2312" w:eastAsia="仿宋_GB2312" w:hAnsi="Calibri" w:cs="Calibri" w:hint="eastAsia"/>
                <w:color w:val="000000" w:themeColor="text1"/>
                <w:kern w:val="0"/>
                <w:sz w:val="24"/>
                <w:szCs w:val="20"/>
              </w:rPr>
              <w:t xml:space="preserve">　</w:t>
            </w:r>
          </w:p>
        </w:tc>
      </w:tr>
    </w:tbl>
    <w:p w14:paraId="296F37DA" w14:textId="77777777" w:rsidR="00E36B8E" w:rsidRDefault="00E36B8E" w:rsidP="00E36B8E">
      <w:pPr>
        <w:widowControl/>
        <w:jc w:val="left"/>
        <w:rPr>
          <w:rFonts w:ascii="仿宋_GB2312" w:eastAsia="仿宋_GB2312" w:hAnsi="宋体"/>
          <w:color w:val="000000" w:themeColor="text1"/>
          <w:sz w:val="32"/>
          <w:szCs w:val="32"/>
        </w:rPr>
      </w:pPr>
    </w:p>
    <w:p w14:paraId="2ABE764C" w14:textId="77777777" w:rsidR="00E36B8E" w:rsidRDefault="00E36B8E" w:rsidP="00E36B8E">
      <w:pPr>
        <w:widowControl/>
        <w:ind w:firstLineChars="200" w:firstLine="643"/>
        <w:jc w:val="left"/>
        <w:rPr>
          <w:rFonts w:ascii="仿宋_GB2312" w:eastAsia="仿宋_GB2312" w:hAnsi="宋体"/>
          <w:b/>
          <w:color w:val="000000" w:themeColor="text1"/>
          <w:sz w:val="32"/>
          <w:szCs w:val="32"/>
        </w:rPr>
      </w:pPr>
    </w:p>
    <w:p w14:paraId="67CCFBC0" w14:textId="77777777" w:rsidR="00E36B8E" w:rsidRDefault="00E36B8E" w:rsidP="00E36B8E">
      <w:pPr>
        <w:widowControl/>
        <w:ind w:firstLineChars="200" w:firstLine="643"/>
        <w:jc w:val="left"/>
        <w:rPr>
          <w:rFonts w:ascii="仿宋_GB2312" w:eastAsia="仿宋_GB2312" w:hAnsi="宋体"/>
          <w:b/>
          <w:color w:val="000000" w:themeColor="text1"/>
          <w:sz w:val="32"/>
          <w:szCs w:val="32"/>
        </w:rPr>
      </w:pPr>
      <w:r>
        <w:rPr>
          <w:rFonts w:ascii="仿宋_GB2312" w:eastAsia="仿宋_GB2312" w:hAnsi="宋体" w:hint="eastAsia"/>
          <w:b/>
          <w:color w:val="000000" w:themeColor="text1"/>
          <w:kern w:val="0"/>
          <w:sz w:val="32"/>
          <w:szCs w:val="32"/>
        </w:rPr>
        <w:br w:type="page"/>
      </w:r>
      <w:bookmarkStart w:id="0" w:name="_GoBack"/>
      <w:bookmarkEnd w:id="0"/>
    </w:p>
    <w:p w14:paraId="3DE2F328" w14:textId="77777777" w:rsidR="00E36B8E" w:rsidRDefault="00E36B8E" w:rsidP="00E36B8E">
      <w:pPr>
        <w:pStyle w:val="a4"/>
        <w:numPr>
          <w:ilvl w:val="0"/>
          <w:numId w:val="1"/>
        </w:numPr>
        <w:ind w:firstLineChars="0"/>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lastRenderedPageBreak/>
        <w:t>赛事投标要求</w:t>
      </w:r>
    </w:p>
    <w:p w14:paraId="4697096B" w14:textId="77777777" w:rsidR="00E36B8E" w:rsidRDefault="00E36B8E" w:rsidP="00E36B8E">
      <w:pPr>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（一）职业赛事</w:t>
      </w:r>
    </w:p>
    <w:p w14:paraId="2B511714" w14:textId="77777777" w:rsidR="00E36B8E" w:rsidRDefault="00E36B8E" w:rsidP="00E36B8E">
      <w:pPr>
        <w:spacing w:line="360" w:lineRule="auto"/>
        <w:jc w:val="center"/>
        <w:rPr>
          <w:rFonts w:ascii="仿宋_GB2312" w:eastAsia="仿宋_GB2312" w:hAnsi="仿宋" w:cs="仿宋"/>
          <w:b/>
          <w:color w:val="000000" w:themeColor="text1"/>
          <w:sz w:val="36"/>
          <w:szCs w:val="36"/>
        </w:rPr>
      </w:pPr>
    </w:p>
    <w:p w14:paraId="60EF1F7F" w14:textId="77777777" w:rsidR="00E36B8E" w:rsidRDefault="00E36B8E" w:rsidP="00E36B8E">
      <w:pPr>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1）投标单位资质要求</w:t>
      </w:r>
    </w:p>
    <w:p w14:paraId="5098450B"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（1）投标单位必须是在中华人民共和国境内注册的具有独立法人资格的企业或事业单位，或政府单位；</w:t>
      </w:r>
    </w:p>
    <w:p w14:paraId="7C9DA52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（2）投标单位无不良信用记录；</w:t>
      </w:r>
    </w:p>
    <w:p w14:paraId="46D5305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（3）投标单位须具备以下资质条件：具有承办体育活动许可的独立法人资质的机构，且注册资金不低于人民币1000万元；</w:t>
      </w:r>
    </w:p>
    <w:p w14:paraId="7BAD5B5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（4）投标人在近三年内（2016年1月-2018年11月）有类似赛事活动组织经验，在人员、设备、资金等方面具有承担与本项目实际情况相匹配的专业运营能力；</w:t>
      </w:r>
    </w:p>
    <w:p w14:paraId="4496069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（5）投标人应保证有能力按承办计划提供合格的赛事场地、设施和器材，投标人具有独立经营或全面合作的高尔夫球场者予以优先考虑；</w:t>
      </w:r>
    </w:p>
    <w:p w14:paraId="4A880E4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（6）投标单位的运营团队主要人员具有3年以上高尔夫球赛</w:t>
      </w:r>
      <w:proofErr w:type="gramStart"/>
      <w:r>
        <w:rPr>
          <w:rFonts w:ascii="仿宋_GB2312" w:eastAsia="仿宋_GB2312" w:hint="eastAsia"/>
          <w:color w:val="000000" w:themeColor="text1"/>
          <w:sz w:val="32"/>
        </w:rPr>
        <w:t>事组织</w:t>
      </w:r>
      <w:proofErr w:type="gramEnd"/>
      <w:r>
        <w:rPr>
          <w:rFonts w:ascii="仿宋_GB2312" w:eastAsia="仿宋_GB2312" w:hint="eastAsia"/>
          <w:color w:val="000000" w:themeColor="text1"/>
          <w:sz w:val="32"/>
        </w:rPr>
        <w:t>运营经验，运营团体主要人员有大型体育赛事活动运营经验者优先考虑；</w:t>
      </w:r>
    </w:p>
    <w:p w14:paraId="609956F8"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（7）本项目所需经费由投标单位自筹；投标单位近三年财务状况良好，具有足够的流动资金来承担本项目；</w:t>
      </w:r>
    </w:p>
    <w:p w14:paraId="75AA4E5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（8）其他要求：有能力协调安排与活动规模相适应的交</w:t>
      </w:r>
      <w:r>
        <w:rPr>
          <w:rFonts w:ascii="仿宋_GB2312" w:eastAsia="仿宋_GB2312" w:hint="eastAsia"/>
          <w:color w:val="000000" w:themeColor="text1"/>
          <w:sz w:val="32"/>
        </w:rPr>
        <w:lastRenderedPageBreak/>
        <w:t>通、食宿等条件；</w:t>
      </w:r>
    </w:p>
    <w:p w14:paraId="218D6A08"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（9）本项目不接受联合体投标，不接受法人为同一人的两个或两个以上公司投标。</w:t>
      </w:r>
    </w:p>
    <w:p w14:paraId="49296E60" w14:textId="77777777" w:rsidR="00E36B8E" w:rsidRDefault="00E36B8E" w:rsidP="00E36B8E">
      <w:pPr>
        <w:spacing w:line="360" w:lineRule="auto"/>
        <w:rPr>
          <w:rFonts w:ascii="仿宋_GB2312" w:eastAsia="仿宋_GB2312" w:hAnsi="仿宋" w:cs="仿宋"/>
          <w:color w:val="000000" w:themeColor="text1"/>
          <w:sz w:val="32"/>
          <w:szCs w:val="32"/>
        </w:rPr>
      </w:pPr>
    </w:p>
    <w:p w14:paraId="557C3EED" w14:textId="77777777" w:rsidR="00E36B8E" w:rsidRDefault="00E36B8E" w:rsidP="00E36B8E">
      <w:pPr>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2）赛事承办要求</w:t>
      </w:r>
    </w:p>
    <w:p w14:paraId="1A86F31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（1）接受中高协对赛事筹备工作的监督与指导，自觉遵守相关体育竞赛法规，遵守体育道德规范。</w:t>
      </w:r>
    </w:p>
    <w:p w14:paraId="4627E5B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（2）接受中高协在赛事计划安排、制定及审核竞赛规程、各类补充通知与秩序册等方面的领导和安排。</w:t>
      </w:r>
    </w:p>
    <w:p w14:paraId="03A5423B"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（3）有责任核实赛事举办球场的合法性，不得在违规球场举办赛事。</w:t>
      </w:r>
    </w:p>
    <w:p w14:paraId="75EA783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（4）须对参赛运动员进行资格确认，确保参赛球员为符合参赛资格、已完成中高协注册的职业运动员。</w:t>
      </w:r>
    </w:p>
    <w:p w14:paraId="3F13E62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（5）如申办国际比赛和全国性比赛，须取得赛事举办地省级体育主管部门的同意。</w:t>
      </w:r>
    </w:p>
    <w:p w14:paraId="7972055D"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（6）在赛事结束后2日之内，向中高协（或中高</w:t>
      </w:r>
      <w:proofErr w:type="gramStart"/>
      <w:r>
        <w:rPr>
          <w:rFonts w:ascii="仿宋_GB2312" w:eastAsia="仿宋_GB2312" w:hint="eastAsia"/>
          <w:color w:val="000000" w:themeColor="text1"/>
          <w:sz w:val="32"/>
        </w:rPr>
        <w:t>协相关</w:t>
      </w:r>
      <w:proofErr w:type="gramEnd"/>
      <w:r>
        <w:rPr>
          <w:rFonts w:ascii="仿宋_GB2312" w:eastAsia="仿宋_GB2312" w:hint="eastAsia"/>
          <w:color w:val="000000" w:themeColor="text1"/>
          <w:sz w:val="32"/>
        </w:rPr>
        <w:t>排名系统）提交赛事成绩，并在需要时配合中高协向相关国际组织报送成绩。</w:t>
      </w:r>
    </w:p>
    <w:p w14:paraId="2644C9C2"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（7）应聘请足够数量的工作人员，并支付相应的劳务费用。</w:t>
      </w:r>
    </w:p>
    <w:p w14:paraId="37FCCC7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（8）在赛事结束一周内,按要求的格式和内容向中高协提交赛事情况总结，包括竞赛经费收支情况。</w:t>
      </w:r>
    </w:p>
    <w:p w14:paraId="783C41B9"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lastRenderedPageBreak/>
        <w:t>（9）承办多年赛事的，应当于每年10月15日前向中国高尔夫球协会报送第二年赛事计划。</w:t>
      </w:r>
    </w:p>
    <w:p w14:paraId="3AB2504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（10）需要办理公安、交通、工商、卫生、税务、无线电管理等其它审批手续的,应当按照有关规定办理。</w:t>
      </w:r>
    </w:p>
    <w:p w14:paraId="65BE167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（11）经中高协批准后方可进行广告征集、接受赞助等工作。接受赞助或获取广告收入的,双方当事人应当订立书面合同并报主办单位备案</w:t>
      </w:r>
    </w:p>
    <w:p w14:paraId="4871DF2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（12）赛事承办单位获得所承办赛事的全部经营收入，同时按照承办协议中关于商标使用许可方面的相关要求缴纳赛事权益转让和服务费，并承担全部经营风险及连带责任。</w:t>
      </w:r>
    </w:p>
    <w:p w14:paraId="538AACEA" w14:textId="77777777" w:rsidR="00E36B8E" w:rsidRDefault="00E36B8E" w:rsidP="00E36B8E">
      <w:pPr>
        <w:widowControl/>
        <w:ind w:leftChars="-41" w:hangingChars="27" w:hanging="86"/>
        <w:jc w:val="left"/>
        <w:rPr>
          <w:rFonts w:ascii="仿宋_GB2312" w:eastAsia="仿宋_GB2312" w:hAnsi="仿宋" w:cs="仿宋"/>
          <w:b/>
          <w:color w:val="000000" w:themeColor="text1"/>
          <w:sz w:val="36"/>
          <w:szCs w:val="36"/>
        </w:rPr>
      </w:pPr>
      <w:r>
        <w:rPr>
          <w:rFonts w:ascii="仿宋_GB2312" w:eastAsia="仿宋_GB2312" w:hint="eastAsia"/>
          <w:color w:val="000000" w:themeColor="text1"/>
          <w:kern w:val="0"/>
          <w:sz w:val="32"/>
        </w:rPr>
        <w:br w:type="page"/>
      </w:r>
    </w:p>
    <w:p w14:paraId="0A186D5F" w14:textId="77777777" w:rsidR="00E36B8E" w:rsidRDefault="00E36B8E" w:rsidP="00E36B8E">
      <w:pPr>
        <w:rPr>
          <w:rFonts w:ascii="仿宋_GB2312" w:eastAsia="仿宋_GB2312" w:hAnsi="仿宋" w:cs="仿宋"/>
          <w:b/>
          <w:color w:val="000000" w:themeColor="text1"/>
          <w:sz w:val="36"/>
          <w:szCs w:val="36"/>
        </w:rPr>
      </w:pPr>
      <w:r>
        <w:rPr>
          <w:rFonts w:ascii="仿宋_GB2312" w:eastAsia="仿宋_GB2312" w:hAnsi="宋体" w:hint="eastAsia"/>
          <w:b/>
          <w:color w:val="000000" w:themeColor="text1"/>
          <w:sz w:val="32"/>
          <w:szCs w:val="32"/>
        </w:rPr>
        <w:lastRenderedPageBreak/>
        <w:t>（二）业余赛事</w:t>
      </w:r>
    </w:p>
    <w:p w14:paraId="66287940" w14:textId="77777777" w:rsidR="00E36B8E" w:rsidRDefault="00E36B8E" w:rsidP="00E36B8E">
      <w:pPr>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1）投标单位资质要求</w:t>
      </w:r>
    </w:p>
    <w:p w14:paraId="39C07EB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（1）投标单位必须是在中华人民共和国境内注册的具有独立法人资格的企业或事业单位，或政府单位；</w:t>
      </w:r>
    </w:p>
    <w:p w14:paraId="28CB077B"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（2）投标单位无不良信用记录；</w:t>
      </w:r>
    </w:p>
    <w:p w14:paraId="0FEAC5F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（3）投标单位须具备以下资质条件：具有承办体育活动许可的独立法人资质的机构，且注册资金不低于人民币200万元；</w:t>
      </w:r>
    </w:p>
    <w:p w14:paraId="3CB944C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（4）投标人在近三年内（2016年1月-2018年11月）有类似赛事活动组织经验，在人员、设备、资金等方面具有承担与本项目实际情况相匹配的专业运营能力；</w:t>
      </w:r>
    </w:p>
    <w:p w14:paraId="2A8FB0E0"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（5）投标人应保证有能力按承办计划提供合格的赛事场地、设施和器材，投标人具有独立经营或全面合作的高尔夫球场者予以优先考虑；</w:t>
      </w:r>
    </w:p>
    <w:p w14:paraId="6581588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（6）投标单位的运营团队主要人员具有3年以上高尔夫球赛</w:t>
      </w:r>
      <w:proofErr w:type="gramStart"/>
      <w:r>
        <w:rPr>
          <w:rFonts w:ascii="仿宋_GB2312" w:eastAsia="仿宋_GB2312" w:hint="eastAsia"/>
          <w:color w:val="000000" w:themeColor="text1"/>
          <w:sz w:val="32"/>
        </w:rPr>
        <w:t>事组织</w:t>
      </w:r>
      <w:proofErr w:type="gramEnd"/>
      <w:r>
        <w:rPr>
          <w:rFonts w:ascii="仿宋_GB2312" w:eastAsia="仿宋_GB2312" w:hint="eastAsia"/>
          <w:color w:val="000000" w:themeColor="text1"/>
          <w:sz w:val="32"/>
        </w:rPr>
        <w:t>运营经验，运营团体主要人员有大型体育赛事活动运营经验者优先考虑；</w:t>
      </w:r>
    </w:p>
    <w:p w14:paraId="2E2DA34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（7）本项目所需经费由投标单位自筹；投标单位近三年财务状况良好，具有足够的流动资金来承担本项目；</w:t>
      </w:r>
    </w:p>
    <w:p w14:paraId="27DEE1F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（8）其他要求：有能力协调安排与活动规模相适应的交通、食宿等条件；</w:t>
      </w:r>
    </w:p>
    <w:p w14:paraId="2C90B460"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（9）本项目不接受联合体投标，不接受法人为同一人的</w:t>
      </w:r>
      <w:r>
        <w:rPr>
          <w:rFonts w:ascii="仿宋_GB2312" w:eastAsia="仿宋_GB2312" w:hint="eastAsia"/>
          <w:color w:val="000000" w:themeColor="text1"/>
          <w:sz w:val="32"/>
        </w:rPr>
        <w:lastRenderedPageBreak/>
        <w:t>两个或两个以上公司投标。</w:t>
      </w:r>
    </w:p>
    <w:p w14:paraId="46649E51" w14:textId="77777777" w:rsidR="00E36B8E" w:rsidRDefault="00E36B8E" w:rsidP="00E36B8E">
      <w:pPr>
        <w:spacing w:line="360" w:lineRule="auto"/>
        <w:rPr>
          <w:rFonts w:ascii="仿宋_GB2312" w:eastAsia="仿宋_GB2312" w:hAnsi="仿宋" w:cs="仿宋"/>
          <w:color w:val="000000" w:themeColor="text1"/>
          <w:sz w:val="32"/>
          <w:szCs w:val="32"/>
        </w:rPr>
      </w:pPr>
    </w:p>
    <w:p w14:paraId="1D1A624B" w14:textId="77777777" w:rsidR="00E36B8E" w:rsidRDefault="00E36B8E" w:rsidP="00E36B8E">
      <w:pPr>
        <w:spacing w:line="360" w:lineRule="auto"/>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sz w:val="32"/>
          <w:szCs w:val="32"/>
        </w:rPr>
        <w:t>2）赛事承办要求</w:t>
      </w:r>
    </w:p>
    <w:p w14:paraId="18399B0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（1）接受中高协对赛事筹备工作的监督与指导，自觉遵守相关体育竞赛法规，遵守体育道德规范。</w:t>
      </w:r>
    </w:p>
    <w:p w14:paraId="74FE50A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（2）接受中高协在赛事计划安排、制定及审核竞赛规程、各类补充通知与秩序册等方面的领导和安排。</w:t>
      </w:r>
    </w:p>
    <w:p w14:paraId="5B6A394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（3）有责任核实赛事举办球场的合法性，不得在违规球场举办赛事。</w:t>
      </w:r>
    </w:p>
    <w:p w14:paraId="1524C57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（4）须对参赛运动员进行资格确认，确保参赛球员为符合参赛资格、已完成中高协注册的业余运动员。</w:t>
      </w:r>
    </w:p>
    <w:p w14:paraId="3EB9450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（5）如申办国际比赛和全国性比赛，须取得赛事举办地省级体育主管部门的同意。</w:t>
      </w:r>
    </w:p>
    <w:p w14:paraId="649AA1C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（6）所办赛事规模、比赛轮次、参赛阵容等需满足《中高协赛事管理办法》和《中高协业余积分排名办法》中的相关规定，至少打3轮。</w:t>
      </w:r>
    </w:p>
    <w:p w14:paraId="1B3CD630"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（7）应聘请足够数量的工作人员，并支付相应的劳务费用。</w:t>
      </w:r>
    </w:p>
    <w:p w14:paraId="07F1BE31"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（8）在赛事结束后2日之内，向中高协（或中高</w:t>
      </w:r>
      <w:proofErr w:type="gramStart"/>
      <w:r>
        <w:rPr>
          <w:rFonts w:ascii="仿宋_GB2312" w:eastAsia="仿宋_GB2312" w:hint="eastAsia"/>
          <w:color w:val="000000" w:themeColor="text1"/>
          <w:sz w:val="32"/>
        </w:rPr>
        <w:t>协相关</w:t>
      </w:r>
      <w:proofErr w:type="gramEnd"/>
      <w:r>
        <w:rPr>
          <w:rFonts w:ascii="仿宋_GB2312" w:eastAsia="仿宋_GB2312" w:hint="eastAsia"/>
          <w:color w:val="000000" w:themeColor="text1"/>
          <w:sz w:val="32"/>
        </w:rPr>
        <w:t>排名系统）提交赛事成绩，并在需要时配合中高协向相关国际组织报送成绩。</w:t>
      </w:r>
    </w:p>
    <w:p w14:paraId="601A0D9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（9）在赛事结束一周内,按要求的格式和内容向中高协</w:t>
      </w:r>
      <w:r>
        <w:rPr>
          <w:rFonts w:ascii="仿宋_GB2312" w:eastAsia="仿宋_GB2312" w:hint="eastAsia"/>
          <w:color w:val="000000" w:themeColor="text1"/>
          <w:sz w:val="32"/>
        </w:rPr>
        <w:lastRenderedPageBreak/>
        <w:t>提交赛事情况总结，包括竞赛经费收支情况。</w:t>
      </w:r>
    </w:p>
    <w:p w14:paraId="6288C8CD"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（10）承办多年赛事的，应当于每年10月15日前向中国高尔夫球协会报送第二年赛事计划。</w:t>
      </w:r>
    </w:p>
    <w:p w14:paraId="348C43F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（11）需要办理公安、交通、工商、卫生、税务、无线电管理等其它审批手续的,应当按照有关规定办理。</w:t>
      </w:r>
    </w:p>
    <w:p w14:paraId="0418B00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（12）在中高协批准后方可进行广告征集、接受赞助等工作。接受赞助或获取广告收入的,双方当事人应当订立书面合同并报主办单位备案</w:t>
      </w:r>
    </w:p>
    <w:p w14:paraId="4226C195"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（13）赛事承办单位获得所承办赛事的全部经营收入，同时按照承办协议中关于商标使用许可方面的相关要求缴纳赛事权益转让和服务费，并承担全部经营风险及连带责任。</w:t>
      </w:r>
    </w:p>
    <w:p w14:paraId="63DD4951" w14:textId="77777777" w:rsidR="00E36B8E" w:rsidRDefault="00E36B8E" w:rsidP="00E36B8E">
      <w:pPr>
        <w:widowControl/>
        <w:ind w:firstLineChars="200" w:firstLine="723"/>
        <w:jc w:val="left"/>
        <w:rPr>
          <w:rFonts w:ascii="仿宋_GB2312" w:eastAsia="仿宋_GB2312" w:hAnsi="仿宋" w:cs="仿宋"/>
          <w:b/>
          <w:color w:val="000000" w:themeColor="text1"/>
          <w:sz w:val="36"/>
          <w:szCs w:val="36"/>
        </w:rPr>
      </w:pPr>
      <w:r>
        <w:rPr>
          <w:rFonts w:ascii="仿宋_GB2312" w:eastAsia="仿宋_GB2312" w:hAnsi="仿宋" w:cs="仿宋" w:hint="eastAsia"/>
          <w:b/>
          <w:color w:val="000000" w:themeColor="text1"/>
          <w:kern w:val="0"/>
          <w:sz w:val="36"/>
          <w:szCs w:val="36"/>
        </w:rPr>
        <w:br w:type="page"/>
      </w:r>
    </w:p>
    <w:p w14:paraId="3B52A09D" w14:textId="77777777" w:rsidR="00E36B8E" w:rsidRDefault="00E36B8E" w:rsidP="00E36B8E">
      <w:pPr>
        <w:spacing w:line="360" w:lineRule="auto"/>
        <w:jc w:val="left"/>
        <w:rPr>
          <w:rFonts w:ascii="仿宋_GB2312" w:eastAsia="仿宋_GB2312" w:hAnsi="仿宋" w:cs="仿宋"/>
          <w:b/>
          <w:color w:val="000000" w:themeColor="text1"/>
          <w:sz w:val="32"/>
          <w:szCs w:val="36"/>
        </w:rPr>
      </w:pPr>
      <w:r>
        <w:rPr>
          <w:rFonts w:ascii="仿宋_GB2312" w:eastAsia="仿宋_GB2312" w:hAnsi="仿宋" w:cs="仿宋" w:hint="eastAsia"/>
          <w:b/>
          <w:color w:val="000000" w:themeColor="text1"/>
          <w:sz w:val="32"/>
          <w:szCs w:val="36"/>
        </w:rPr>
        <w:lastRenderedPageBreak/>
        <w:t>（三）青少年赛事投标要求</w:t>
      </w:r>
    </w:p>
    <w:p w14:paraId="6BE867FF" w14:textId="77777777" w:rsidR="00E36B8E" w:rsidRDefault="00E36B8E" w:rsidP="00E36B8E">
      <w:pPr>
        <w:rPr>
          <w:rFonts w:ascii="仿宋_GB2312" w:eastAsia="仿宋_GB2312" w:hAnsi="宋体"/>
          <w:b/>
          <w:color w:val="000000" w:themeColor="text1"/>
          <w:sz w:val="32"/>
          <w:szCs w:val="32"/>
        </w:rPr>
      </w:pPr>
      <w:r>
        <w:rPr>
          <w:rFonts w:ascii="仿宋_GB2312" w:eastAsia="仿宋_GB2312" w:hAnsi="宋体" w:hint="eastAsia"/>
          <w:b/>
          <w:color w:val="000000" w:themeColor="text1"/>
          <w:sz w:val="32"/>
          <w:szCs w:val="32"/>
        </w:rPr>
        <w:t>1）投标单位资质要求</w:t>
      </w:r>
    </w:p>
    <w:p w14:paraId="4DEA8DF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（1）投标单位必须是在中华人民共和国境内注册的具有独立法人资格的企业或事业单位，或政府单位；</w:t>
      </w:r>
    </w:p>
    <w:p w14:paraId="3A55C93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（2）投标单位无不良信用记录；</w:t>
      </w:r>
    </w:p>
    <w:p w14:paraId="08147C6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（3）投标单位须具备以下资质条件：具有承办体育活动许可的独立法人资质的机构，且注册资金不低于人民币100万元；</w:t>
      </w:r>
    </w:p>
    <w:p w14:paraId="14F52AD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（4）投标人在近三年内（2016年1月-2018年11月）有类似赛事活动组织经验，在人员、设备、资金等方面具有承担与本项目实际情况相匹配的专业运营能力；</w:t>
      </w:r>
    </w:p>
    <w:p w14:paraId="1C799FD9"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（5）投标人应保证有能力按承办计划提供合格的赛事场地、设施和器材，投标人具有独立经营或全面合作的高尔夫球场者予以优先考虑；</w:t>
      </w:r>
    </w:p>
    <w:p w14:paraId="00F61995"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（6）投标单位的运营团队主要人员具有3年以上高尔夫球赛</w:t>
      </w:r>
      <w:proofErr w:type="gramStart"/>
      <w:r>
        <w:rPr>
          <w:rFonts w:ascii="仿宋_GB2312" w:eastAsia="仿宋_GB2312" w:hint="eastAsia"/>
          <w:color w:val="000000" w:themeColor="text1"/>
          <w:sz w:val="32"/>
        </w:rPr>
        <w:t>事组织</w:t>
      </w:r>
      <w:proofErr w:type="gramEnd"/>
      <w:r>
        <w:rPr>
          <w:rFonts w:ascii="仿宋_GB2312" w:eastAsia="仿宋_GB2312" w:hint="eastAsia"/>
          <w:color w:val="000000" w:themeColor="text1"/>
          <w:sz w:val="32"/>
        </w:rPr>
        <w:t>运营经验，运营团体主要人员有大型体育赛事活动运营经验者优先考虑；</w:t>
      </w:r>
    </w:p>
    <w:p w14:paraId="7C40231F"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（7）本项目所需经费由投标单位自筹；投标单位近三年财务状况良好，具有足够的流动资金来承担本项目；</w:t>
      </w:r>
    </w:p>
    <w:p w14:paraId="43904CBB"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（8）其他要求：有能力协调安排与活动规模相适应的交通、食宿等条件；</w:t>
      </w:r>
    </w:p>
    <w:p w14:paraId="11DC79A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（9）本项目不接受联合体投标，不接受法人为同一人的</w:t>
      </w:r>
      <w:r>
        <w:rPr>
          <w:rFonts w:ascii="仿宋_GB2312" w:eastAsia="仿宋_GB2312" w:hint="eastAsia"/>
          <w:color w:val="000000" w:themeColor="text1"/>
          <w:sz w:val="32"/>
        </w:rPr>
        <w:lastRenderedPageBreak/>
        <w:t>两个或两个以上公司投标。</w:t>
      </w:r>
    </w:p>
    <w:p w14:paraId="5234B039" w14:textId="77777777" w:rsidR="00E36B8E" w:rsidRDefault="00E36B8E" w:rsidP="00E36B8E">
      <w:pPr>
        <w:spacing w:line="360" w:lineRule="auto"/>
        <w:rPr>
          <w:rFonts w:ascii="仿宋_GB2312" w:eastAsia="仿宋_GB2312" w:hAnsi="仿宋" w:cs="仿宋"/>
          <w:color w:val="000000" w:themeColor="text1"/>
          <w:sz w:val="32"/>
          <w:szCs w:val="32"/>
        </w:rPr>
      </w:pPr>
    </w:p>
    <w:p w14:paraId="4A595465" w14:textId="77777777" w:rsidR="00E36B8E" w:rsidRDefault="00E36B8E" w:rsidP="00E36B8E">
      <w:pPr>
        <w:spacing w:line="360" w:lineRule="auto"/>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sz w:val="32"/>
          <w:szCs w:val="32"/>
        </w:rPr>
        <w:t>2）赛事承办要求</w:t>
      </w:r>
    </w:p>
    <w:p w14:paraId="600790C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（1）接受中高协对赛事筹备工作的监督与指导，自觉遵守相关体育竞赛法规，遵守体育道德规范。</w:t>
      </w:r>
    </w:p>
    <w:p w14:paraId="1D4A770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（2）接受中高协在赛事计划安排、制定及审核竞赛规程、各类补充通知与秩序册等方面的领导和安排。</w:t>
      </w:r>
    </w:p>
    <w:p w14:paraId="4CC4A1E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（3）有责任核实赛事举办球场的合法性，不得在违规球场举办赛事。</w:t>
      </w:r>
    </w:p>
    <w:p w14:paraId="2E84FA42"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（4）需对参赛运动员进行资格确认，确保参赛球员为符合参赛资格、已完成中高协注册的青少年运动员。</w:t>
      </w:r>
    </w:p>
    <w:p w14:paraId="3E8184CD"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（5）如申办国际比赛和全国性比赛，须取得赛事举办地省级体育主管部门的同意。</w:t>
      </w:r>
    </w:p>
    <w:p w14:paraId="09D0899D"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（6）</w:t>
      </w:r>
      <w:bookmarkStart w:id="1" w:name="OLE_LINK1"/>
      <w:r>
        <w:rPr>
          <w:rFonts w:ascii="仿宋_GB2312" w:eastAsia="仿宋_GB2312" w:hint="eastAsia"/>
          <w:color w:val="000000" w:themeColor="text1"/>
          <w:sz w:val="32"/>
        </w:rPr>
        <w:t>所办赛事规模、比赛轮次、参赛阵容等须满足《中高协赛事管理办法》和《中高协青少年积分排名办法》中的相关规定。A组赛事至少为3轮，</w:t>
      </w:r>
      <w:bookmarkEnd w:id="1"/>
      <w:r>
        <w:rPr>
          <w:rFonts w:ascii="仿宋_GB2312" w:eastAsia="仿宋_GB2312" w:hint="eastAsia"/>
          <w:color w:val="000000" w:themeColor="text1"/>
          <w:sz w:val="32"/>
        </w:rPr>
        <w:t>B组赛事至少为2轮。</w:t>
      </w:r>
    </w:p>
    <w:p w14:paraId="203BF70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（7）需接受中高协选派裁判，确保为参赛者提供专业的竞赛服务。</w:t>
      </w:r>
    </w:p>
    <w:p w14:paraId="378144E0"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8）向球员收取的参赛费用不得高于500元/轮（不包括练习轮）。“参赛费用”包括报名费、打球费或其他类似与参赛直接相关的费用，但不包括交通、住宿、餐饮、球童小费、购物等本应由球员承担的合理费用。</w:t>
      </w:r>
    </w:p>
    <w:p w14:paraId="753C2415"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lastRenderedPageBreak/>
        <w:t>（9）应聘请足够数量的工作人员，并支付相应的劳务费用。</w:t>
      </w:r>
    </w:p>
    <w:p w14:paraId="1F412A40"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（10）应当在赛事结束后2日之内，向中高协（或中高</w:t>
      </w:r>
      <w:proofErr w:type="gramStart"/>
      <w:r>
        <w:rPr>
          <w:rFonts w:ascii="仿宋_GB2312" w:eastAsia="仿宋_GB2312" w:hint="eastAsia"/>
          <w:color w:val="000000" w:themeColor="text1"/>
          <w:sz w:val="32"/>
        </w:rPr>
        <w:t>协相关</w:t>
      </w:r>
      <w:proofErr w:type="gramEnd"/>
      <w:r>
        <w:rPr>
          <w:rFonts w:ascii="仿宋_GB2312" w:eastAsia="仿宋_GB2312" w:hint="eastAsia"/>
          <w:color w:val="000000" w:themeColor="text1"/>
          <w:sz w:val="32"/>
        </w:rPr>
        <w:t>排名系统）提交赛事成绩，并在需要时配合中高协向相关国际组织报送成绩。</w:t>
      </w:r>
    </w:p>
    <w:p w14:paraId="21FE8D0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（11）应当在赛事结束一周内,按要求的格式和内容向中高协提交赛事情况总结，包括竞赛经费收支情况。</w:t>
      </w:r>
    </w:p>
    <w:p w14:paraId="3D750CB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（12）承办多年赛事的，应当于每年10月15日前向中国高尔夫球协会报送第二年赛事计划。</w:t>
      </w:r>
    </w:p>
    <w:p w14:paraId="4E76047A"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（13）需要办理公安、交通、工商、卫生、税务、无线电管理等其它审批手续的,应当按照有关规定办理。</w:t>
      </w:r>
    </w:p>
    <w:p w14:paraId="20968C0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（14）需在中高协批准后方可进行广告征集、接受赞助等工作。接受赞助或获取广告收入的,双方当事人应当订立书面合同并报主办单位备案</w:t>
      </w:r>
    </w:p>
    <w:p w14:paraId="4A876606"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（15）赛事承办单位获得所承办赛事的全部经营收入，同时按照承办协议中关于商标使用许可方面的相关要求缴纳赛事权益转让和服务费，并承担全部经营风险及连带责任。</w:t>
      </w:r>
    </w:p>
    <w:p w14:paraId="4761E0D3" w14:textId="77777777" w:rsidR="00E36B8E" w:rsidRDefault="00E36B8E" w:rsidP="00E36B8E">
      <w:pPr>
        <w:widowControl/>
        <w:jc w:val="left"/>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kern w:val="0"/>
          <w:sz w:val="32"/>
          <w:szCs w:val="32"/>
        </w:rPr>
        <w:br w:type="page"/>
      </w:r>
    </w:p>
    <w:p w14:paraId="10FAE708" w14:textId="77777777" w:rsidR="00E36B8E" w:rsidRDefault="00E36B8E" w:rsidP="00E36B8E">
      <w:pPr>
        <w:spacing w:line="360" w:lineRule="auto"/>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sz w:val="32"/>
          <w:szCs w:val="32"/>
        </w:rPr>
        <w:lastRenderedPageBreak/>
        <w:t>三、申办材料</w:t>
      </w:r>
    </w:p>
    <w:p w14:paraId="047DD25C"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投标单位在符合资质要求并自愿遵守所有赛事承办要求的情况下，需提供以下投标材料：</w:t>
      </w:r>
    </w:p>
    <w:p w14:paraId="69FBCC9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（一）资质证明；</w:t>
      </w:r>
    </w:p>
    <w:p w14:paraId="7BE4AD65"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（二）信用中国网站出示的信用报告；</w:t>
      </w:r>
    </w:p>
    <w:p w14:paraId="0EDCF527"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（三）办赛专用经费额度证明及具体开销预算</w:t>
      </w:r>
    </w:p>
    <w:p w14:paraId="4DB59D94"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（四）近3年财务报告；</w:t>
      </w:r>
    </w:p>
    <w:p w14:paraId="4B6B0A6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（五）承办意向书；</w:t>
      </w:r>
    </w:p>
    <w:p w14:paraId="647A46B6"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（六）承办单位及团队主要人员简介；</w:t>
      </w:r>
    </w:p>
    <w:p w14:paraId="41F7B0A6"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（七）赛事规划和赛事筹备方案；</w:t>
      </w:r>
    </w:p>
    <w:p w14:paraId="5640A5CC"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（八）举办过的高尔夫球比赛情况简介，主要运营人具有大型体育赛事活动经验及能力的证明材料；</w:t>
      </w:r>
    </w:p>
    <w:p w14:paraId="0925669E"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（九）安全保卫方案和突发事件应急预案；</w:t>
      </w:r>
    </w:p>
    <w:p w14:paraId="7ADE7743" w14:textId="77777777" w:rsidR="00E36B8E" w:rsidRDefault="00E36B8E" w:rsidP="00E36B8E">
      <w:pPr>
        <w:ind w:firstLineChars="200" w:firstLine="640"/>
        <w:rPr>
          <w:rFonts w:ascii="仿宋_GB2312" w:eastAsia="仿宋_GB2312"/>
          <w:color w:val="000000" w:themeColor="text1"/>
          <w:sz w:val="32"/>
        </w:rPr>
      </w:pPr>
      <w:r>
        <w:rPr>
          <w:rFonts w:ascii="仿宋_GB2312" w:eastAsia="仿宋_GB2312" w:hint="eastAsia"/>
          <w:color w:val="000000" w:themeColor="text1"/>
          <w:sz w:val="32"/>
        </w:rPr>
        <w:t>（十）其他满足申办要求的有关材料。</w:t>
      </w:r>
    </w:p>
    <w:p w14:paraId="43924A90" w14:textId="77777777" w:rsidR="00E36B8E" w:rsidRDefault="00E36B8E" w:rsidP="00E36B8E">
      <w:pPr>
        <w:spacing w:line="360" w:lineRule="auto"/>
        <w:ind w:left="640"/>
        <w:rPr>
          <w:rFonts w:ascii="仿宋_GB2312" w:eastAsia="仿宋_GB2312" w:hAnsi="仿宋" w:cs="仿宋"/>
          <w:color w:val="000000" w:themeColor="text1"/>
          <w:sz w:val="32"/>
          <w:szCs w:val="32"/>
        </w:rPr>
      </w:pPr>
    </w:p>
    <w:p w14:paraId="5E434EA7" w14:textId="77777777" w:rsidR="00E36B8E" w:rsidRDefault="00E36B8E" w:rsidP="00E36B8E">
      <w:pPr>
        <w:spacing w:line="360" w:lineRule="auto"/>
        <w:rPr>
          <w:rFonts w:ascii="仿宋_GB2312" w:eastAsia="仿宋_GB2312" w:hAnsi="仿宋" w:cs="仿宋"/>
          <w:b/>
          <w:color w:val="000000" w:themeColor="text1"/>
          <w:sz w:val="32"/>
          <w:szCs w:val="32"/>
        </w:rPr>
      </w:pPr>
      <w:r>
        <w:rPr>
          <w:rFonts w:ascii="仿宋_GB2312" w:eastAsia="仿宋_GB2312" w:hAnsi="仿宋" w:cs="仿宋" w:hint="eastAsia"/>
          <w:b/>
          <w:color w:val="000000" w:themeColor="text1"/>
          <w:sz w:val="32"/>
          <w:szCs w:val="32"/>
        </w:rPr>
        <w:t>四、材料提交地点和时间</w:t>
      </w:r>
    </w:p>
    <w:p w14:paraId="572D3C6D"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递交投标材料时投标单位需在纸质版标书上注明意向投标的赛事，在电子邮件的标题中也需要提交意向投标的赛事：“XX单位关于投标XX赛事的文件材料”。</w:t>
      </w:r>
    </w:p>
    <w:p w14:paraId="7D7400AE"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申办材料递交截止日期：2018年12月7日下午5：30</w:t>
      </w:r>
    </w:p>
    <w:p w14:paraId="664B004E"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纸质材料递送：</w:t>
      </w:r>
    </w:p>
    <w:p w14:paraId="66579C28"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中国高尔夫球协会商务部</w:t>
      </w:r>
    </w:p>
    <w:p w14:paraId="4A0E92FB"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lastRenderedPageBreak/>
        <w:t>邮寄地址：北京市东城区天坛东路74号天坛体育文化中心505</w:t>
      </w:r>
    </w:p>
    <w:p w14:paraId="2C2988F7"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联系人：乐诚</w:t>
      </w:r>
      <w:r>
        <w:rPr>
          <w:rFonts w:ascii="Calibri" w:eastAsia="仿宋_GB2312" w:hAnsi="Calibri" w:cs="Calibri"/>
          <w:color w:val="000000" w:themeColor="text1"/>
          <w:sz w:val="32"/>
          <w:szCs w:val="32"/>
        </w:rPr>
        <w:t> </w:t>
      </w:r>
      <w:r>
        <w:rPr>
          <w:rFonts w:ascii="仿宋_GB2312" w:eastAsia="仿宋_GB2312" w:hAnsi="仿宋" w:cs="仿宋" w:hint="eastAsia"/>
          <w:color w:val="000000" w:themeColor="text1"/>
          <w:sz w:val="32"/>
          <w:szCs w:val="32"/>
        </w:rPr>
        <w:t xml:space="preserve"> 联系方式：010-87181811</w:t>
      </w:r>
    </w:p>
    <w:p w14:paraId="50784724"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电子版材料递送：</w:t>
      </w:r>
    </w:p>
    <w:p w14:paraId="314E20FF"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Style w:val="a3"/>
          <w:rFonts w:ascii="仿宋_GB2312" w:eastAsia="仿宋_GB2312" w:hAnsi="仿宋" w:cs="仿宋" w:hint="eastAsia"/>
          <w:color w:val="000000" w:themeColor="text1"/>
          <w:sz w:val="32"/>
          <w:szCs w:val="32"/>
        </w:rPr>
        <w:t xml:space="preserve">邮箱地址： </w:t>
      </w:r>
      <w:hyperlink r:id="rId5" w:history="1">
        <w:r>
          <w:rPr>
            <w:rStyle w:val="a3"/>
            <w:rFonts w:ascii="仿宋_GB2312" w:eastAsia="仿宋_GB2312" w:hAnsi="仿宋" w:cs="仿宋" w:hint="eastAsia"/>
            <w:color w:val="000000" w:themeColor="text1"/>
            <w:sz w:val="32"/>
            <w:szCs w:val="32"/>
          </w:rPr>
          <w:t>yuecheng@golf.org.cn</w:t>
        </w:r>
      </w:hyperlink>
    </w:p>
    <w:p w14:paraId="1D54A637"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p>
    <w:p w14:paraId="53793BB5"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b/>
          <w:color w:val="000000" w:themeColor="text1"/>
          <w:sz w:val="32"/>
          <w:szCs w:val="32"/>
        </w:rPr>
        <w:t>五、评标及协议签署流程</w:t>
      </w:r>
    </w:p>
    <w:p w14:paraId="6CF483A4"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（一）资质初审</w:t>
      </w:r>
    </w:p>
    <w:p w14:paraId="7B6B1233" w14:textId="77777777" w:rsidR="00E36B8E" w:rsidRDefault="00E36B8E" w:rsidP="00E36B8E">
      <w:pPr>
        <w:spacing w:line="360" w:lineRule="auto"/>
        <w:ind w:firstLine="648"/>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协会收到投标材料后，将对所有有意承办此次活动的单位资质进行审核、评估，筛选出符合条件的单位进入“评标议标”环节。</w:t>
      </w:r>
    </w:p>
    <w:p w14:paraId="55A636D2"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（二）评标议标</w:t>
      </w:r>
    </w:p>
    <w:p w14:paraId="6491FFB6" w14:textId="77777777" w:rsidR="00E36B8E" w:rsidRDefault="00E36B8E" w:rsidP="00E36B8E">
      <w:pPr>
        <w:spacing w:line="360" w:lineRule="auto"/>
        <w:ind w:firstLine="648"/>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在多家单位投标同一赛事的情况</w:t>
      </w:r>
      <w:proofErr w:type="gramStart"/>
      <w:r>
        <w:rPr>
          <w:rFonts w:ascii="仿宋_GB2312" w:eastAsia="仿宋_GB2312" w:hAnsi="仿宋" w:cs="仿宋" w:hint="eastAsia"/>
          <w:color w:val="000000" w:themeColor="text1"/>
          <w:sz w:val="32"/>
          <w:szCs w:val="32"/>
        </w:rPr>
        <w:t>下协会</w:t>
      </w:r>
      <w:proofErr w:type="gramEnd"/>
      <w:r>
        <w:rPr>
          <w:rFonts w:ascii="仿宋_GB2312" w:eastAsia="仿宋_GB2312" w:hAnsi="仿宋" w:cs="仿宋" w:hint="eastAsia"/>
          <w:color w:val="000000" w:themeColor="text1"/>
          <w:sz w:val="32"/>
          <w:szCs w:val="32"/>
        </w:rPr>
        <w:t>将组织议标会，符合条件的投标单位将一同在中高协会议室进行议标。参与议标的单位、具体议</w:t>
      </w:r>
      <w:proofErr w:type="gramStart"/>
      <w:r>
        <w:rPr>
          <w:rFonts w:ascii="仿宋_GB2312" w:eastAsia="仿宋_GB2312" w:hAnsi="仿宋" w:cs="仿宋" w:hint="eastAsia"/>
          <w:color w:val="000000" w:themeColor="text1"/>
          <w:sz w:val="32"/>
          <w:szCs w:val="32"/>
        </w:rPr>
        <w:t>标时间</w:t>
      </w:r>
      <w:proofErr w:type="gramEnd"/>
      <w:r>
        <w:rPr>
          <w:rFonts w:ascii="仿宋_GB2312" w:eastAsia="仿宋_GB2312" w:hAnsi="仿宋" w:cs="仿宋" w:hint="eastAsia"/>
          <w:color w:val="000000" w:themeColor="text1"/>
          <w:sz w:val="32"/>
          <w:szCs w:val="32"/>
        </w:rPr>
        <w:t>及要求将根据初审情况另行公告。</w:t>
      </w:r>
    </w:p>
    <w:p w14:paraId="500BD8C2"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（三）中标公示</w:t>
      </w:r>
    </w:p>
    <w:p w14:paraId="71877D0A" w14:textId="77777777" w:rsidR="00E36B8E" w:rsidRDefault="00E36B8E" w:rsidP="00E36B8E">
      <w:pPr>
        <w:spacing w:line="360" w:lineRule="auto"/>
        <w:ind w:firstLine="648"/>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协会将在官方网站上公示中标单位，公示期为5个工作日，具体时间另行公告。</w:t>
      </w:r>
    </w:p>
    <w:p w14:paraId="75D4DE6B" w14:textId="77777777" w:rsidR="00E36B8E" w:rsidRDefault="00E36B8E" w:rsidP="00E36B8E">
      <w:pPr>
        <w:spacing w:line="360" w:lineRule="auto"/>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（四）签订协议</w:t>
      </w:r>
    </w:p>
    <w:p w14:paraId="02659D65" w14:textId="77777777" w:rsidR="00E36B8E" w:rsidRDefault="00E36B8E" w:rsidP="00E36B8E">
      <w:pPr>
        <w:spacing w:line="360" w:lineRule="auto"/>
        <w:ind w:firstLineChars="200" w:firstLine="640"/>
        <w:rPr>
          <w:rFonts w:ascii="仿宋_GB2312" w:eastAsia="仿宋_GB2312" w:hAnsi="仿宋" w:cs="仿宋"/>
          <w:color w:val="000000" w:themeColor="text1"/>
          <w:sz w:val="32"/>
          <w:szCs w:val="32"/>
        </w:rPr>
      </w:pPr>
      <w:r>
        <w:rPr>
          <w:rFonts w:ascii="仿宋_GB2312" w:eastAsia="仿宋_GB2312" w:hAnsi="仿宋" w:cs="仿宋" w:hint="eastAsia"/>
          <w:color w:val="000000" w:themeColor="text1"/>
          <w:sz w:val="32"/>
          <w:szCs w:val="32"/>
        </w:rPr>
        <w:t>协会与中标单位商定具体合作有关事宜，约定双方的权利与义务，签订合作协议。</w:t>
      </w:r>
    </w:p>
    <w:p w14:paraId="68C583EF" w14:textId="77777777" w:rsidR="00A47C0E" w:rsidRDefault="00A47C0E"/>
    <w:sectPr w:rsidR="00A47C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07AE1"/>
    <w:multiLevelType w:val="hybridMultilevel"/>
    <w:tmpl w:val="C58E8F7E"/>
    <w:lvl w:ilvl="0" w:tplc="2DA228B4">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4E543099"/>
    <w:multiLevelType w:val="hybridMultilevel"/>
    <w:tmpl w:val="38383416"/>
    <w:lvl w:ilvl="0" w:tplc="D2F82B80">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A5B"/>
    <w:rsid w:val="00120282"/>
    <w:rsid w:val="002E227F"/>
    <w:rsid w:val="00620A5B"/>
    <w:rsid w:val="00A47C0E"/>
    <w:rsid w:val="00E36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15C4F"/>
  <w15:chartTrackingRefBased/>
  <w15:docId w15:val="{AE064480-B645-4FEA-896C-E2234F964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36B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36B8E"/>
    <w:rPr>
      <w:color w:val="0563C1" w:themeColor="hyperlink"/>
      <w:u w:val="single"/>
    </w:rPr>
  </w:style>
  <w:style w:type="paragraph" w:styleId="a4">
    <w:name w:val="List Paragraph"/>
    <w:basedOn w:val="a"/>
    <w:uiPriority w:val="34"/>
    <w:qFormat/>
    <w:rsid w:val="00E36B8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28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uecheng@golf.org.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722</Words>
  <Characters>4119</Characters>
  <Application>Microsoft Office Word</Application>
  <DocSecurity>0</DocSecurity>
  <Lines>34</Lines>
  <Paragraphs>9</Paragraphs>
  <ScaleCrop>false</ScaleCrop>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2018-11-22T04:53:00Z</dcterms:created>
  <dcterms:modified xsi:type="dcterms:W3CDTF">2018-11-22T04:57:00Z</dcterms:modified>
</cp:coreProperties>
</file>